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77B46" w14:textId="77777777" w:rsidR="0041132D" w:rsidRPr="006E3BCD" w:rsidRDefault="0041132D" w:rsidP="0041132D">
      <w:pPr>
        <w:rPr>
          <w:rFonts w:ascii="Georgia" w:hAnsi="Georgia" w:cs="Times New Roman"/>
          <w:b/>
        </w:rPr>
      </w:pPr>
      <w:r w:rsidRPr="006E3BCD">
        <w:rPr>
          <w:rFonts w:ascii="Georgia" w:hAnsi="Georgia" w:cs="Times New Roman"/>
          <w:b/>
        </w:rPr>
        <w:t>US History Honors</w:t>
      </w:r>
    </w:p>
    <w:p w14:paraId="0D70F9FC" w14:textId="77777777" w:rsidR="0041132D" w:rsidRPr="006E3BCD" w:rsidRDefault="0041132D" w:rsidP="0041132D">
      <w:pPr>
        <w:rPr>
          <w:rFonts w:ascii="Georgia" w:hAnsi="Georgia" w:cs="Times New Roman"/>
          <w:b/>
        </w:rPr>
      </w:pPr>
      <w:r w:rsidRPr="006E3BCD">
        <w:rPr>
          <w:rFonts w:ascii="Georgia" w:hAnsi="Georgia" w:cs="Times New Roman"/>
          <w:b/>
        </w:rPr>
        <w:t>Unit 1: The Gilded Age</w:t>
      </w:r>
    </w:p>
    <w:p w14:paraId="4232EBF3" w14:textId="77777777" w:rsidR="0041132D" w:rsidRPr="006E3BCD" w:rsidRDefault="0041132D" w:rsidP="0041132D">
      <w:pPr>
        <w:rPr>
          <w:rFonts w:ascii="Georgia" w:hAnsi="Georgia" w:cs="Times New Roman"/>
          <w:b/>
        </w:rPr>
      </w:pPr>
      <w:r w:rsidRPr="006E3BCD">
        <w:rPr>
          <w:rFonts w:ascii="Georgia" w:hAnsi="Georgia" w:cs="Times New Roman"/>
          <w:b/>
        </w:rPr>
        <w:t>Chapter 19 – Identifications</w:t>
      </w:r>
    </w:p>
    <w:p w14:paraId="369293FB" w14:textId="77777777" w:rsidR="006E3BCD" w:rsidRPr="006E3BCD" w:rsidRDefault="006E3BCD" w:rsidP="0041132D">
      <w:pPr>
        <w:rPr>
          <w:rFonts w:ascii="Georgia" w:hAnsi="Georgia" w:cs="Times New Roman"/>
        </w:rPr>
      </w:pPr>
      <w:r w:rsidRPr="006E3BCD">
        <w:rPr>
          <w:rFonts w:ascii="Georgia" w:hAnsi="Georgia" w:cs="Times New Roman"/>
          <w:b/>
        </w:rPr>
        <w:t>Part 1</w:t>
      </w:r>
    </w:p>
    <w:p w14:paraId="3043E1B2" w14:textId="77777777" w:rsidR="0041132D" w:rsidRPr="006E3BCD" w:rsidRDefault="0041132D" w:rsidP="0041132D">
      <w:pPr>
        <w:rPr>
          <w:rFonts w:ascii="Georgia" w:hAnsi="Georgia" w:cs="Times New Roman"/>
        </w:rPr>
      </w:pPr>
    </w:p>
    <w:p w14:paraId="37363784" w14:textId="77777777" w:rsidR="0041132D" w:rsidRPr="006E3BCD" w:rsidRDefault="0041132D" w:rsidP="0041132D">
      <w:pPr>
        <w:widowControl w:val="0"/>
        <w:suppressAutoHyphens/>
        <w:autoSpaceDE w:val="0"/>
        <w:autoSpaceDN w:val="0"/>
        <w:adjustRightInd w:val="0"/>
        <w:rPr>
          <w:rFonts w:ascii="Georgia" w:hAnsi="Georgia"/>
          <w:color w:val="000000"/>
        </w:rPr>
      </w:pPr>
    </w:p>
    <w:tbl>
      <w:tblPr>
        <w:tblW w:w="0" w:type="auto"/>
        <w:tblLook w:val="0000" w:firstRow="0" w:lastRow="0" w:firstColumn="0" w:lastColumn="0" w:noHBand="0" w:noVBand="0"/>
      </w:tblPr>
      <w:tblGrid>
        <w:gridCol w:w="432"/>
        <w:gridCol w:w="8208"/>
      </w:tblGrid>
      <w:tr w:rsidR="0041132D" w:rsidRPr="006E3BCD" w14:paraId="35829BA7" w14:textId="77777777" w:rsidTr="006E3BCD">
        <w:tc>
          <w:tcPr>
            <w:tcW w:w="8640" w:type="dxa"/>
            <w:gridSpan w:val="2"/>
            <w:tcBorders>
              <w:top w:val="nil"/>
              <w:left w:val="nil"/>
              <w:bottom w:val="nil"/>
              <w:right w:val="nil"/>
            </w:tcBorders>
          </w:tcPr>
          <w:p w14:paraId="35FC923A" w14:textId="77777777" w:rsidR="0041132D" w:rsidRPr="006E3BCD" w:rsidRDefault="0041132D" w:rsidP="006E3BCD">
            <w:pPr>
              <w:keepLines/>
              <w:suppressAutoHyphens/>
              <w:autoSpaceDE w:val="0"/>
              <w:autoSpaceDN w:val="0"/>
              <w:adjustRightInd w:val="0"/>
              <w:rPr>
                <w:rFonts w:ascii="Georgia" w:hAnsi="Georgia"/>
                <w:b/>
                <w:bCs/>
                <w:color w:val="000000"/>
              </w:rPr>
            </w:pPr>
            <w:r w:rsidRPr="006E3BCD">
              <w:rPr>
                <w:rFonts w:ascii="Georgia" w:hAnsi="Georgia"/>
                <w:b/>
                <w:bCs/>
                <w:color w:val="000000"/>
              </w:rPr>
              <w:t>Instructions:</w:t>
            </w:r>
          </w:p>
        </w:tc>
      </w:tr>
      <w:tr w:rsidR="0041132D" w:rsidRPr="006E3BCD" w14:paraId="36EF5E7A" w14:textId="77777777" w:rsidTr="006E3BCD">
        <w:tc>
          <w:tcPr>
            <w:tcW w:w="432" w:type="dxa"/>
            <w:tcBorders>
              <w:top w:val="nil"/>
              <w:left w:val="nil"/>
              <w:bottom w:val="nil"/>
              <w:right w:val="nil"/>
            </w:tcBorders>
          </w:tcPr>
          <w:p w14:paraId="6E9A34AD" w14:textId="77777777" w:rsidR="0041132D" w:rsidRPr="006E3BCD" w:rsidRDefault="0041132D" w:rsidP="006E3BCD">
            <w:pPr>
              <w:keepLines/>
              <w:suppressAutoHyphens/>
              <w:autoSpaceDE w:val="0"/>
              <w:autoSpaceDN w:val="0"/>
              <w:adjustRightInd w:val="0"/>
              <w:rPr>
                <w:rFonts w:ascii="Georgia" w:hAnsi="Georgia"/>
                <w:color w:val="000000"/>
              </w:rPr>
            </w:pPr>
            <w:r w:rsidRPr="006E3BCD">
              <w:rPr>
                <w:rFonts w:ascii="Georgia" w:hAnsi="Georgia" w:cs="Symbol"/>
                <w:color w:val="000000"/>
              </w:rPr>
              <w:t></w:t>
            </w:r>
          </w:p>
        </w:tc>
        <w:tc>
          <w:tcPr>
            <w:tcW w:w="8208" w:type="dxa"/>
            <w:tcBorders>
              <w:top w:val="nil"/>
              <w:left w:val="nil"/>
              <w:bottom w:val="nil"/>
              <w:right w:val="nil"/>
            </w:tcBorders>
          </w:tcPr>
          <w:p w14:paraId="2CE3B6FA" w14:textId="77777777" w:rsidR="0041132D" w:rsidRPr="006E3BCD" w:rsidRDefault="0041132D" w:rsidP="006E3BCD">
            <w:pPr>
              <w:keepLines/>
              <w:suppressAutoHyphens/>
              <w:autoSpaceDE w:val="0"/>
              <w:autoSpaceDN w:val="0"/>
              <w:adjustRightInd w:val="0"/>
              <w:rPr>
                <w:rFonts w:ascii="Georgia" w:hAnsi="Georgia"/>
                <w:i/>
                <w:iCs/>
                <w:color w:val="000000"/>
              </w:rPr>
            </w:pPr>
            <w:r w:rsidRPr="006E3BCD">
              <w:rPr>
                <w:rFonts w:ascii="Georgia" w:hAnsi="Georgia"/>
                <w:color w:val="000000"/>
              </w:rPr>
              <w:t xml:space="preserve">Identify each item. Give an explanation or description of the item. Answer the questions </w:t>
            </w:r>
            <w:r w:rsidRPr="006E3BCD">
              <w:rPr>
                <w:rFonts w:ascii="Georgia" w:hAnsi="Georgia"/>
                <w:i/>
                <w:iCs/>
                <w:color w:val="000000"/>
              </w:rPr>
              <w:t>who, what, where,</w:t>
            </w:r>
            <w:r w:rsidRPr="006E3BCD">
              <w:rPr>
                <w:rFonts w:ascii="Georgia" w:hAnsi="Georgia"/>
                <w:color w:val="000000"/>
              </w:rPr>
              <w:t xml:space="preserve"> </w:t>
            </w:r>
            <w:r w:rsidRPr="006E3BCD">
              <w:rPr>
                <w:rFonts w:ascii="Georgia" w:hAnsi="Georgia"/>
                <w:i/>
                <w:iCs/>
                <w:color w:val="000000"/>
              </w:rPr>
              <w:t>when, and why.</w:t>
            </w:r>
          </w:p>
        </w:tc>
      </w:tr>
      <w:tr w:rsidR="0041132D" w:rsidRPr="006E3BCD" w14:paraId="5035C11A" w14:textId="77777777" w:rsidTr="006E3BCD">
        <w:tc>
          <w:tcPr>
            <w:tcW w:w="432" w:type="dxa"/>
            <w:tcBorders>
              <w:top w:val="nil"/>
              <w:left w:val="nil"/>
              <w:bottom w:val="nil"/>
              <w:right w:val="nil"/>
            </w:tcBorders>
          </w:tcPr>
          <w:p w14:paraId="18083701" w14:textId="77777777" w:rsidR="0041132D" w:rsidRPr="006E3BCD" w:rsidRDefault="0041132D" w:rsidP="006E3BCD">
            <w:pPr>
              <w:keepLines/>
              <w:suppressAutoHyphens/>
              <w:autoSpaceDE w:val="0"/>
              <w:autoSpaceDN w:val="0"/>
              <w:adjustRightInd w:val="0"/>
              <w:rPr>
                <w:rFonts w:ascii="Georgia" w:hAnsi="Georgia"/>
                <w:color w:val="000000"/>
              </w:rPr>
            </w:pPr>
            <w:r w:rsidRPr="006E3BCD">
              <w:rPr>
                <w:rFonts w:ascii="Georgia" w:hAnsi="Georgia" w:cs="Symbol"/>
                <w:color w:val="000000"/>
              </w:rPr>
              <w:t></w:t>
            </w:r>
          </w:p>
        </w:tc>
        <w:tc>
          <w:tcPr>
            <w:tcW w:w="8208" w:type="dxa"/>
            <w:tcBorders>
              <w:top w:val="nil"/>
              <w:left w:val="nil"/>
              <w:bottom w:val="nil"/>
              <w:right w:val="nil"/>
            </w:tcBorders>
          </w:tcPr>
          <w:p w14:paraId="0E32DC2F" w14:textId="77777777" w:rsidR="0041132D" w:rsidRPr="006E3BCD" w:rsidRDefault="0041132D" w:rsidP="006E3BCD">
            <w:pPr>
              <w:keepLines/>
              <w:suppressAutoHyphens/>
              <w:autoSpaceDE w:val="0"/>
              <w:autoSpaceDN w:val="0"/>
              <w:adjustRightInd w:val="0"/>
              <w:rPr>
                <w:rFonts w:ascii="Georgia" w:hAnsi="Georgia"/>
                <w:i/>
                <w:iCs/>
                <w:color w:val="000000"/>
              </w:rPr>
            </w:pPr>
            <w:r w:rsidRPr="006E3BCD">
              <w:rPr>
                <w:rFonts w:ascii="Georgia" w:hAnsi="Georgia"/>
                <w:color w:val="000000"/>
              </w:rPr>
              <w:t xml:space="preserve">Explain the historical significance of each item. Establish the historical context in which the item exists. Establish the item as the result of or as the cause of other factors existing in the society under study. Answer this question: </w:t>
            </w:r>
            <w:r w:rsidRPr="006E3BCD">
              <w:rPr>
                <w:rFonts w:ascii="Georgia" w:hAnsi="Georgia"/>
                <w:i/>
                <w:iCs/>
                <w:color w:val="000000"/>
              </w:rPr>
              <w:t>What were the political, social, economic, and/or cultural consequences of this item?</w:t>
            </w:r>
          </w:p>
        </w:tc>
      </w:tr>
    </w:tbl>
    <w:p w14:paraId="393DEDF8" w14:textId="77777777" w:rsidR="005A3C27" w:rsidRPr="006E3BCD" w:rsidRDefault="005A3C27">
      <w:pPr>
        <w:rPr>
          <w:rFonts w:ascii="Georgia" w:hAnsi="Georgia"/>
        </w:rPr>
      </w:pPr>
    </w:p>
    <w:p w14:paraId="17DF0FAC" w14:textId="77777777" w:rsidR="006E3BCD" w:rsidRPr="006E3BCD" w:rsidRDefault="006E3BCD">
      <w:pPr>
        <w:rPr>
          <w:rFonts w:ascii="Georgia" w:hAnsi="Georgia"/>
        </w:rPr>
      </w:pPr>
    </w:p>
    <w:p w14:paraId="63690563" w14:textId="77777777" w:rsidR="006E3BCD" w:rsidRPr="006E3BCD" w:rsidRDefault="006E3BCD" w:rsidP="006E3BCD">
      <w:pPr>
        <w:rPr>
          <w:rFonts w:ascii="Georgia" w:hAnsi="Georgia"/>
          <w:b/>
          <w:u w:val="single"/>
        </w:rPr>
      </w:pPr>
      <w:r w:rsidRPr="006E3BCD">
        <w:rPr>
          <w:rFonts w:ascii="Georgia" w:hAnsi="Georgia"/>
          <w:b/>
          <w:u w:val="single"/>
        </w:rPr>
        <w:t>PP. 217-530</w:t>
      </w:r>
      <w:bookmarkStart w:id="0" w:name="_GoBack"/>
      <w:bookmarkEnd w:id="0"/>
    </w:p>
    <w:p w14:paraId="4F0080E1" w14:textId="77777777" w:rsidR="006E3BCD" w:rsidRPr="006E3BCD" w:rsidRDefault="006E3BCD" w:rsidP="006E3BCD">
      <w:pPr>
        <w:pStyle w:val="ListParagraph"/>
        <w:numPr>
          <w:ilvl w:val="0"/>
          <w:numId w:val="3"/>
        </w:numPr>
        <w:rPr>
          <w:rFonts w:ascii="Georgia" w:hAnsi="Georgia"/>
        </w:rPr>
      </w:pPr>
      <w:r w:rsidRPr="006E3BCD">
        <w:rPr>
          <w:rFonts w:ascii="Georgia" w:hAnsi="Georgia"/>
          <w:color w:val="000000"/>
        </w:rPr>
        <w:t>Product specialization</w:t>
      </w:r>
    </w:p>
    <w:p w14:paraId="615D1060" w14:textId="77777777" w:rsidR="006E3BCD" w:rsidRPr="006E3BCD" w:rsidRDefault="006E3BCD" w:rsidP="006E3BCD">
      <w:pPr>
        <w:pStyle w:val="ListParagraph"/>
        <w:numPr>
          <w:ilvl w:val="0"/>
          <w:numId w:val="3"/>
        </w:numPr>
        <w:rPr>
          <w:rFonts w:ascii="Georgia" w:hAnsi="Georgia"/>
        </w:rPr>
      </w:pPr>
      <w:r w:rsidRPr="006E3BCD">
        <w:rPr>
          <w:rFonts w:ascii="Georgia" w:hAnsi="Georgia"/>
          <w:color w:val="000000"/>
        </w:rPr>
        <w:t>The electric trolley</w:t>
      </w:r>
    </w:p>
    <w:p w14:paraId="4A4A2E82" w14:textId="77777777" w:rsidR="006E3BCD" w:rsidRPr="006E3BCD" w:rsidRDefault="006E3BCD" w:rsidP="006E3BCD">
      <w:pPr>
        <w:pStyle w:val="ListParagraph"/>
        <w:numPr>
          <w:ilvl w:val="0"/>
          <w:numId w:val="3"/>
        </w:numPr>
        <w:rPr>
          <w:rFonts w:ascii="Georgia" w:hAnsi="Georgia"/>
        </w:rPr>
      </w:pPr>
      <w:r w:rsidRPr="006E3BCD">
        <w:rPr>
          <w:rFonts w:ascii="Georgia" w:hAnsi="Georgia"/>
          <w:color w:val="000000"/>
        </w:rPr>
        <w:t>The electric interurban railway</w:t>
      </w:r>
    </w:p>
    <w:p w14:paraId="1AE6FFD4" w14:textId="77777777" w:rsidR="006E3BCD" w:rsidRPr="006E3BCD" w:rsidRDefault="006E3BCD" w:rsidP="006E3BCD">
      <w:pPr>
        <w:pStyle w:val="ListParagraph"/>
        <w:numPr>
          <w:ilvl w:val="0"/>
          <w:numId w:val="3"/>
        </w:numPr>
        <w:rPr>
          <w:rFonts w:ascii="Georgia" w:hAnsi="Georgia"/>
        </w:rPr>
      </w:pPr>
      <w:r w:rsidRPr="006E3BCD">
        <w:rPr>
          <w:rFonts w:ascii="Georgia" w:hAnsi="Georgia"/>
          <w:color w:val="000000"/>
        </w:rPr>
        <w:t>Urban growth/sprawl</w:t>
      </w:r>
    </w:p>
    <w:p w14:paraId="2AF13040" w14:textId="77777777" w:rsidR="006E3BCD" w:rsidRPr="006E3BCD" w:rsidRDefault="006E3BCD" w:rsidP="006E3BCD">
      <w:pPr>
        <w:pStyle w:val="ListParagraph"/>
        <w:numPr>
          <w:ilvl w:val="0"/>
          <w:numId w:val="3"/>
        </w:numPr>
        <w:rPr>
          <w:rFonts w:ascii="Georgia" w:hAnsi="Georgia"/>
        </w:rPr>
      </w:pPr>
      <w:r w:rsidRPr="006E3BCD">
        <w:rPr>
          <w:rFonts w:ascii="Georgia" w:hAnsi="Georgia"/>
          <w:color w:val="000000"/>
        </w:rPr>
        <w:t>"New" foreign immigration</w:t>
      </w:r>
    </w:p>
    <w:p w14:paraId="01D4BEA0" w14:textId="77777777" w:rsidR="006E3BCD" w:rsidRPr="006E3BCD" w:rsidRDefault="006E3BCD" w:rsidP="006E3BCD">
      <w:pPr>
        <w:pStyle w:val="ListParagraph"/>
        <w:numPr>
          <w:ilvl w:val="0"/>
          <w:numId w:val="3"/>
        </w:numPr>
        <w:rPr>
          <w:rFonts w:ascii="Georgia" w:hAnsi="Georgia"/>
        </w:rPr>
      </w:pPr>
      <w:r w:rsidRPr="006E3BCD">
        <w:rPr>
          <w:rFonts w:ascii="Georgia" w:hAnsi="Georgia"/>
          <w:color w:val="000000"/>
        </w:rPr>
        <w:t>Residential mobility &amp; occupational mobility</w:t>
      </w:r>
    </w:p>
    <w:p w14:paraId="59A1BC84" w14:textId="77777777" w:rsidR="006E3BCD" w:rsidRPr="006E3BCD" w:rsidRDefault="006E3BCD" w:rsidP="006E3BCD">
      <w:pPr>
        <w:pStyle w:val="ListParagraph"/>
        <w:numPr>
          <w:ilvl w:val="0"/>
          <w:numId w:val="3"/>
        </w:numPr>
        <w:rPr>
          <w:rFonts w:ascii="Georgia" w:hAnsi="Georgia"/>
        </w:rPr>
      </w:pPr>
      <w:r w:rsidRPr="006E3BCD">
        <w:rPr>
          <w:rFonts w:ascii="Georgia" w:hAnsi="Georgia"/>
          <w:color w:val="000000"/>
        </w:rPr>
        <w:t>Acquisition of property</w:t>
      </w:r>
    </w:p>
    <w:p w14:paraId="2CC9FD3B" w14:textId="77777777" w:rsidR="006E3BCD" w:rsidRPr="006E3BCD" w:rsidRDefault="006E3BCD" w:rsidP="006E3BCD">
      <w:pPr>
        <w:pStyle w:val="ListParagraph"/>
        <w:numPr>
          <w:ilvl w:val="0"/>
          <w:numId w:val="3"/>
        </w:numPr>
        <w:rPr>
          <w:rFonts w:ascii="Georgia" w:hAnsi="Georgia"/>
        </w:rPr>
      </w:pPr>
      <w:r w:rsidRPr="006E3BCD">
        <w:rPr>
          <w:rFonts w:ascii="Georgia" w:hAnsi="Georgia"/>
          <w:color w:val="000000"/>
        </w:rPr>
        <w:t>Racially segregated ghettos</w:t>
      </w:r>
    </w:p>
    <w:p w14:paraId="5C0492C7" w14:textId="77777777" w:rsidR="006E3BCD" w:rsidRPr="006E3BCD" w:rsidRDefault="006E3BCD" w:rsidP="006E3BCD">
      <w:pPr>
        <w:pStyle w:val="ListParagraph"/>
        <w:numPr>
          <w:ilvl w:val="0"/>
          <w:numId w:val="3"/>
        </w:numPr>
        <w:rPr>
          <w:rFonts w:ascii="Georgia" w:hAnsi="Georgia"/>
        </w:rPr>
      </w:pPr>
      <w:r w:rsidRPr="006E3BCD">
        <w:rPr>
          <w:rFonts w:ascii="Georgia" w:hAnsi="Georgia"/>
          <w:color w:val="000000"/>
        </w:rPr>
        <w:t>Riots:</w:t>
      </w:r>
    </w:p>
    <w:p w14:paraId="367FCE09" w14:textId="77777777" w:rsidR="006E3BCD" w:rsidRPr="006E3BCD" w:rsidRDefault="006E3BCD" w:rsidP="006E3BCD">
      <w:pPr>
        <w:pStyle w:val="ListParagraph"/>
        <w:keepLines/>
        <w:numPr>
          <w:ilvl w:val="0"/>
          <w:numId w:val="2"/>
        </w:numPr>
        <w:tabs>
          <w:tab w:val="right" w:pos="-180"/>
          <w:tab w:val="left" w:pos="0"/>
        </w:tabs>
        <w:suppressAutoHyphens/>
        <w:autoSpaceDE w:val="0"/>
        <w:autoSpaceDN w:val="0"/>
        <w:adjustRightInd w:val="0"/>
        <w:rPr>
          <w:rFonts w:ascii="Georgia" w:hAnsi="Georgia"/>
          <w:color w:val="000000"/>
        </w:rPr>
      </w:pPr>
      <w:r w:rsidRPr="006E3BCD">
        <w:rPr>
          <w:rFonts w:ascii="Georgia" w:hAnsi="Georgia"/>
          <w:color w:val="000000"/>
        </w:rPr>
        <w:t>Wilmington, North Carolina, riot of 1898</w:t>
      </w:r>
    </w:p>
    <w:p w14:paraId="600FFEC4" w14:textId="77777777" w:rsidR="006E3BCD" w:rsidRPr="006E3BCD" w:rsidRDefault="006E3BCD" w:rsidP="006E3BCD">
      <w:pPr>
        <w:pStyle w:val="ListParagraph"/>
        <w:keepLines/>
        <w:numPr>
          <w:ilvl w:val="0"/>
          <w:numId w:val="2"/>
        </w:numPr>
        <w:tabs>
          <w:tab w:val="right" w:pos="-180"/>
          <w:tab w:val="left" w:pos="0"/>
        </w:tabs>
        <w:suppressAutoHyphens/>
        <w:autoSpaceDE w:val="0"/>
        <w:autoSpaceDN w:val="0"/>
        <w:adjustRightInd w:val="0"/>
        <w:rPr>
          <w:rFonts w:ascii="Georgia" w:hAnsi="Georgia"/>
          <w:color w:val="000000"/>
        </w:rPr>
      </w:pPr>
      <w:r w:rsidRPr="006E3BCD">
        <w:rPr>
          <w:rFonts w:ascii="Georgia" w:hAnsi="Georgia"/>
          <w:color w:val="000000"/>
        </w:rPr>
        <w:t>Atlanta riot of 1906</w:t>
      </w:r>
    </w:p>
    <w:p w14:paraId="60AD9AB0" w14:textId="77777777" w:rsidR="006E3BCD" w:rsidRPr="006E3BCD" w:rsidRDefault="006E3BCD" w:rsidP="006E3BCD">
      <w:pPr>
        <w:pStyle w:val="ListParagraph"/>
        <w:keepLines/>
        <w:numPr>
          <w:ilvl w:val="0"/>
          <w:numId w:val="2"/>
        </w:numPr>
        <w:tabs>
          <w:tab w:val="right" w:pos="-180"/>
          <w:tab w:val="left" w:pos="0"/>
        </w:tabs>
        <w:suppressAutoHyphens/>
        <w:autoSpaceDE w:val="0"/>
        <w:autoSpaceDN w:val="0"/>
        <w:adjustRightInd w:val="0"/>
        <w:rPr>
          <w:rFonts w:ascii="Georgia" w:hAnsi="Georgia"/>
          <w:color w:val="000000"/>
        </w:rPr>
      </w:pPr>
      <w:r w:rsidRPr="006E3BCD">
        <w:rPr>
          <w:rFonts w:ascii="Georgia" w:hAnsi="Georgia"/>
          <w:color w:val="000000"/>
        </w:rPr>
        <w:t>East St. Louis riot of 1917</w:t>
      </w:r>
    </w:p>
    <w:p w14:paraId="7F144AF1" w14:textId="77777777" w:rsidR="006E3BCD" w:rsidRPr="006E3BCD" w:rsidRDefault="006E3BCD" w:rsidP="006E3BCD">
      <w:pPr>
        <w:keepLines/>
        <w:tabs>
          <w:tab w:val="right" w:pos="-180"/>
          <w:tab w:val="left" w:pos="0"/>
        </w:tabs>
        <w:suppressAutoHyphens/>
        <w:autoSpaceDE w:val="0"/>
        <w:autoSpaceDN w:val="0"/>
        <w:adjustRightInd w:val="0"/>
        <w:rPr>
          <w:rFonts w:ascii="Georgia" w:hAnsi="Georgia"/>
          <w:color w:val="000000"/>
        </w:rPr>
      </w:pPr>
    </w:p>
    <w:p w14:paraId="488C0D2A" w14:textId="77777777" w:rsidR="006E3BCD" w:rsidRPr="006E3BCD" w:rsidRDefault="006E3BCD" w:rsidP="006E3BCD">
      <w:pPr>
        <w:pStyle w:val="ListParagraph"/>
        <w:keepLines/>
        <w:numPr>
          <w:ilvl w:val="0"/>
          <w:numId w:val="3"/>
        </w:numPr>
        <w:tabs>
          <w:tab w:val="right" w:pos="-180"/>
          <w:tab w:val="left" w:pos="0"/>
        </w:tabs>
        <w:suppressAutoHyphens/>
        <w:autoSpaceDE w:val="0"/>
        <w:autoSpaceDN w:val="0"/>
        <w:adjustRightInd w:val="0"/>
        <w:rPr>
          <w:rFonts w:ascii="Georgia" w:hAnsi="Georgia"/>
          <w:color w:val="000000"/>
        </w:rPr>
      </w:pPr>
      <w:r w:rsidRPr="006E3BCD">
        <w:rPr>
          <w:rFonts w:ascii="Georgia" w:hAnsi="Georgia"/>
          <w:color w:val="000000"/>
        </w:rPr>
        <w:t>Denis Kearney &amp; the Chinese Exclusion Act</w:t>
      </w:r>
    </w:p>
    <w:p w14:paraId="3FE1E9C9" w14:textId="77777777" w:rsidR="006E3BCD" w:rsidRPr="006E3BCD" w:rsidRDefault="006E3BCD" w:rsidP="006E3BCD">
      <w:pPr>
        <w:pStyle w:val="ListParagraph"/>
        <w:keepLines/>
        <w:numPr>
          <w:ilvl w:val="0"/>
          <w:numId w:val="3"/>
        </w:numPr>
        <w:tabs>
          <w:tab w:val="right" w:pos="-180"/>
          <w:tab w:val="left" w:pos="0"/>
        </w:tabs>
        <w:suppressAutoHyphens/>
        <w:autoSpaceDE w:val="0"/>
        <w:autoSpaceDN w:val="0"/>
        <w:adjustRightInd w:val="0"/>
        <w:rPr>
          <w:rFonts w:ascii="Georgia" w:hAnsi="Georgia"/>
          <w:color w:val="000000"/>
        </w:rPr>
      </w:pPr>
      <w:r w:rsidRPr="006E3BCD">
        <w:rPr>
          <w:rFonts w:ascii="Georgia" w:hAnsi="Georgia"/>
          <w:color w:val="000000"/>
        </w:rPr>
        <w:t>Geary Act</w:t>
      </w:r>
    </w:p>
    <w:p w14:paraId="58D2A294" w14:textId="77777777" w:rsidR="006E3BCD" w:rsidRPr="006E3BCD" w:rsidRDefault="006E3BCD" w:rsidP="006E3BCD">
      <w:pPr>
        <w:pStyle w:val="ListParagraph"/>
        <w:keepLines/>
        <w:numPr>
          <w:ilvl w:val="0"/>
          <w:numId w:val="3"/>
        </w:numPr>
        <w:tabs>
          <w:tab w:val="right" w:pos="-180"/>
          <w:tab w:val="left" w:pos="0"/>
        </w:tabs>
        <w:suppressAutoHyphens/>
        <w:autoSpaceDE w:val="0"/>
        <w:autoSpaceDN w:val="0"/>
        <w:adjustRightInd w:val="0"/>
        <w:rPr>
          <w:rFonts w:ascii="Georgia" w:hAnsi="Georgia"/>
          <w:color w:val="000000"/>
        </w:rPr>
      </w:pPr>
      <w:r w:rsidRPr="006E3BCD">
        <w:rPr>
          <w:rFonts w:ascii="Georgia" w:hAnsi="Georgia"/>
          <w:i/>
          <w:iCs/>
          <w:color w:val="000000"/>
        </w:rPr>
        <w:t>Barrios</w:t>
      </w:r>
    </w:p>
    <w:p w14:paraId="23B3EA73" w14:textId="77777777" w:rsidR="006E3BCD" w:rsidRPr="006E3BCD" w:rsidRDefault="006E3BCD" w:rsidP="006E3BCD">
      <w:pPr>
        <w:pStyle w:val="ListParagraph"/>
        <w:keepLines/>
        <w:numPr>
          <w:ilvl w:val="0"/>
          <w:numId w:val="3"/>
        </w:numPr>
        <w:tabs>
          <w:tab w:val="right" w:pos="-180"/>
          <w:tab w:val="left" w:pos="0"/>
        </w:tabs>
        <w:suppressAutoHyphens/>
        <w:autoSpaceDE w:val="0"/>
        <w:autoSpaceDN w:val="0"/>
        <w:adjustRightInd w:val="0"/>
        <w:rPr>
          <w:rFonts w:ascii="Georgia" w:hAnsi="Georgia"/>
          <w:color w:val="000000"/>
        </w:rPr>
      </w:pPr>
      <w:r w:rsidRPr="006E3BCD">
        <w:rPr>
          <w:rFonts w:ascii="Georgia" w:hAnsi="Georgia"/>
          <w:color w:val="000000"/>
        </w:rPr>
        <w:t>Conservative Judaism</w:t>
      </w:r>
    </w:p>
    <w:p w14:paraId="4835F9B8" w14:textId="77777777" w:rsidR="006E3BCD" w:rsidRPr="006E3BCD" w:rsidRDefault="006E3BCD" w:rsidP="006E3BCD">
      <w:pPr>
        <w:pStyle w:val="ListParagraph"/>
        <w:keepLines/>
        <w:numPr>
          <w:ilvl w:val="0"/>
          <w:numId w:val="3"/>
        </w:numPr>
        <w:tabs>
          <w:tab w:val="right" w:pos="-180"/>
          <w:tab w:val="left" w:pos="0"/>
        </w:tabs>
        <w:suppressAutoHyphens/>
        <w:autoSpaceDE w:val="0"/>
        <w:autoSpaceDN w:val="0"/>
        <w:adjustRightInd w:val="0"/>
        <w:rPr>
          <w:rFonts w:ascii="Georgia" w:hAnsi="Georgia"/>
          <w:color w:val="000000"/>
        </w:rPr>
      </w:pPr>
      <w:r w:rsidRPr="006E3BCD">
        <w:rPr>
          <w:rFonts w:ascii="Georgia" w:hAnsi="Georgia"/>
          <w:color w:val="000000"/>
        </w:rPr>
        <w:t>New York State tenement legislation</w:t>
      </w:r>
    </w:p>
    <w:p w14:paraId="59B9EDAC" w14:textId="77777777" w:rsidR="006E3BCD" w:rsidRPr="006E3BCD" w:rsidRDefault="006E3BCD" w:rsidP="006E3BCD">
      <w:pPr>
        <w:pStyle w:val="ListParagraph"/>
        <w:keepLines/>
        <w:numPr>
          <w:ilvl w:val="0"/>
          <w:numId w:val="3"/>
        </w:numPr>
        <w:tabs>
          <w:tab w:val="right" w:pos="-180"/>
          <w:tab w:val="left" w:pos="0"/>
        </w:tabs>
        <w:suppressAutoHyphens/>
        <w:autoSpaceDE w:val="0"/>
        <w:autoSpaceDN w:val="0"/>
        <w:adjustRightInd w:val="0"/>
        <w:rPr>
          <w:rFonts w:ascii="Georgia" w:hAnsi="Georgia"/>
          <w:color w:val="000000"/>
        </w:rPr>
      </w:pPr>
      <w:r w:rsidRPr="006E3BCD">
        <w:rPr>
          <w:rFonts w:ascii="Georgia" w:hAnsi="Georgia"/>
          <w:color w:val="000000"/>
        </w:rPr>
        <w:t>"Model tenements"</w:t>
      </w:r>
    </w:p>
    <w:p w14:paraId="4CDFB38E" w14:textId="77777777" w:rsidR="006E3BCD" w:rsidRPr="006E3BCD" w:rsidRDefault="006E3BCD" w:rsidP="006E3BCD">
      <w:pPr>
        <w:pStyle w:val="ListParagraph"/>
        <w:keepLines/>
        <w:numPr>
          <w:ilvl w:val="0"/>
          <w:numId w:val="3"/>
        </w:numPr>
        <w:tabs>
          <w:tab w:val="right" w:pos="-180"/>
          <w:tab w:val="left" w:pos="0"/>
        </w:tabs>
        <w:suppressAutoHyphens/>
        <w:autoSpaceDE w:val="0"/>
        <w:autoSpaceDN w:val="0"/>
        <w:adjustRightInd w:val="0"/>
        <w:rPr>
          <w:rFonts w:ascii="Georgia" w:hAnsi="Georgia"/>
          <w:color w:val="000000"/>
        </w:rPr>
      </w:pPr>
      <w:r w:rsidRPr="006E3BCD">
        <w:rPr>
          <w:rFonts w:ascii="Georgia" w:hAnsi="Georgia"/>
          <w:color w:val="000000"/>
        </w:rPr>
        <w:t>New home technologies &amp; public health regulations &amp; steel-frame construction</w:t>
      </w:r>
    </w:p>
    <w:p w14:paraId="3CF820C8" w14:textId="77777777" w:rsidR="006E3BCD" w:rsidRPr="006E3BCD" w:rsidRDefault="006E3BCD" w:rsidP="006E3BCD">
      <w:pPr>
        <w:pStyle w:val="ListParagraph"/>
        <w:keepLines/>
        <w:numPr>
          <w:ilvl w:val="0"/>
          <w:numId w:val="3"/>
        </w:numPr>
        <w:tabs>
          <w:tab w:val="right" w:pos="-180"/>
          <w:tab w:val="left" w:pos="0"/>
        </w:tabs>
        <w:suppressAutoHyphens/>
        <w:autoSpaceDE w:val="0"/>
        <w:autoSpaceDN w:val="0"/>
        <w:adjustRightInd w:val="0"/>
        <w:rPr>
          <w:rFonts w:ascii="Georgia" w:hAnsi="Georgia"/>
          <w:color w:val="000000"/>
        </w:rPr>
      </w:pPr>
      <w:r w:rsidRPr="006E3BCD">
        <w:rPr>
          <w:rFonts w:ascii="Georgia" w:hAnsi="Georgia"/>
          <w:color w:val="000000"/>
        </w:rPr>
        <w:t>Urban poverty</w:t>
      </w:r>
    </w:p>
    <w:p w14:paraId="160E7C77" w14:textId="77777777" w:rsidR="006E3BCD" w:rsidRPr="006E3BCD" w:rsidRDefault="006E3BCD" w:rsidP="006E3BCD">
      <w:pPr>
        <w:pStyle w:val="ListParagraph"/>
        <w:keepLines/>
        <w:numPr>
          <w:ilvl w:val="0"/>
          <w:numId w:val="3"/>
        </w:numPr>
        <w:tabs>
          <w:tab w:val="right" w:pos="-180"/>
          <w:tab w:val="left" w:pos="0"/>
        </w:tabs>
        <w:suppressAutoHyphens/>
        <w:autoSpaceDE w:val="0"/>
        <w:autoSpaceDN w:val="0"/>
        <w:adjustRightInd w:val="0"/>
        <w:rPr>
          <w:rFonts w:ascii="Georgia" w:hAnsi="Georgia"/>
          <w:color w:val="000000"/>
        </w:rPr>
      </w:pPr>
      <w:r w:rsidRPr="006E3BCD">
        <w:rPr>
          <w:rFonts w:ascii="Georgia" w:hAnsi="Georgia"/>
          <w:color w:val="000000"/>
        </w:rPr>
        <w:t>Charity Organization Societies</w:t>
      </w:r>
    </w:p>
    <w:p w14:paraId="44C9929C" w14:textId="77777777" w:rsidR="006E3BCD" w:rsidRPr="006E3BCD" w:rsidRDefault="006E3BCD" w:rsidP="006E3BCD">
      <w:pPr>
        <w:pStyle w:val="ListParagraph"/>
        <w:keepLines/>
        <w:numPr>
          <w:ilvl w:val="0"/>
          <w:numId w:val="3"/>
        </w:numPr>
        <w:tabs>
          <w:tab w:val="right" w:pos="-180"/>
          <w:tab w:val="left" w:pos="0"/>
        </w:tabs>
        <w:suppressAutoHyphens/>
        <w:autoSpaceDE w:val="0"/>
        <w:autoSpaceDN w:val="0"/>
        <w:adjustRightInd w:val="0"/>
        <w:rPr>
          <w:rFonts w:ascii="Georgia" w:hAnsi="Georgia"/>
          <w:color w:val="000000"/>
        </w:rPr>
      </w:pPr>
      <w:r w:rsidRPr="006E3BCD">
        <w:rPr>
          <w:rFonts w:ascii="Georgia" w:hAnsi="Georgia"/>
          <w:color w:val="000000"/>
        </w:rPr>
        <w:t>Rufus Minor</w:t>
      </w:r>
    </w:p>
    <w:p w14:paraId="040A390D" w14:textId="77777777" w:rsidR="006E3BCD" w:rsidRPr="006E3BCD" w:rsidRDefault="006E3BCD" w:rsidP="006E3BCD">
      <w:pPr>
        <w:pStyle w:val="ListParagraph"/>
        <w:keepLines/>
        <w:numPr>
          <w:ilvl w:val="0"/>
          <w:numId w:val="3"/>
        </w:numPr>
        <w:tabs>
          <w:tab w:val="right" w:pos="-180"/>
          <w:tab w:val="left" w:pos="0"/>
        </w:tabs>
        <w:suppressAutoHyphens/>
        <w:autoSpaceDE w:val="0"/>
        <w:autoSpaceDN w:val="0"/>
        <w:adjustRightInd w:val="0"/>
        <w:rPr>
          <w:rFonts w:ascii="Georgia" w:hAnsi="Georgia"/>
          <w:color w:val="000000"/>
        </w:rPr>
      </w:pPr>
      <w:r w:rsidRPr="006E3BCD">
        <w:rPr>
          <w:rFonts w:ascii="Georgia" w:hAnsi="Georgia"/>
          <w:color w:val="000000"/>
        </w:rPr>
        <w:t>Urban crime and violence</w:t>
      </w:r>
    </w:p>
    <w:p w14:paraId="173B5B0D" w14:textId="77777777" w:rsidR="006E3BCD" w:rsidRPr="006E3BCD" w:rsidRDefault="006E3BCD" w:rsidP="006E3BCD">
      <w:pPr>
        <w:keepLines/>
        <w:tabs>
          <w:tab w:val="right" w:pos="-180"/>
          <w:tab w:val="left" w:pos="0"/>
        </w:tabs>
        <w:suppressAutoHyphens/>
        <w:autoSpaceDE w:val="0"/>
        <w:autoSpaceDN w:val="0"/>
        <w:adjustRightInd w:val="0"/>
        <w:ind w:hanging="630"/>
        <w:rPr>
          <w:rFonts w:ascii="Georgia" w:hAnsi="Georgia"/>
          <w:color w:val="000000"/>
        </w:rPr>
      </w:pPr>
    </w:p>
    <w:sectPr w:rsidR="006E3BCD" w:rsidRPr="006E3BCD" w:rsidSect="005A3C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3102"/>
    <w:multiLevelType w:val="hybridMultilevel"/>
    <w:tmpl w:val="B81A7430"/>
    <w:lvl w:ilvl="0" w:tplc="F80448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A5F1EC0"/>
    <w:multiLevelType w:val="hybridMultilevel"/>
    <w:tmpl w:val="BF8CD032"/>
    <w:lvl w:ilvl="0" w:tplc="F80448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C3E01"/>
    <w:multiLevelType w:val="hybridMultilevel"/>
    <w:tmpl w:val="E9AC1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2D"/>
    <w:rsid w:val="00253A0D"/>
    <w:rsid w:val="0041132D"/>
    <w:rsid w:val="00535052"/>
    <w:rsid w:val="005A3C27"/>
    <w:rsid w:val="006E3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3FB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B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997</Characters>
  <Application>Microsoft Macintosh Word</Application>
  <DocSecurity>0</DocSecurity>
  <Lines>8</Lines>
  <Paragraphs>2</Paragraphs>
  <ScaleCrop>false</ScaleCrop>
  <Company>WHS</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Champion</dc:creator>
  <cp:keywords/>
  <dc:description/>
  <cp:lastModifiedBy>Brandon Champion</cp:lastModifiedBy>
  <cp:revision>2</cp:revision>
  <dcterms:created xsi:type="dcterms:W3CDTF">2016-09-16T12:02:00Z</dcterms:created>
  <dcterms:modified xsi:type="dcterms:W3CDTF">2016-09-16T12:02:00Z</dcterms:modified>
</cp:coreProperties>
</file>